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62268" w14:textId="6FEED1F0" w:rsidR="00F10632" w:rsidRDefault="00F83220">
      <w:pPr>
        <w:rPr>
          <w:rFonts w:ascii="Garamond" w:hAnsi="Garamond"/>
          <w:b/>
          <w:bCs/>
        </w:rPr>
      </w:pPr>
      <w:r>
        <w:rPr>
          <w:rFonts w:ascii="Garamond" w:hAnsi="Garamond"/>
          <w:b/>
          <w:bCs/>
        </w:rPr>
        <w:t>Baroque Art in Flanders and the Netherlands</w:t>
      </w:r>
    </w:p>
    <w:p w14:paraId="37F8E630" w14:textId="42850009" w:rsidR="00F83220" w:rsidRDefault="00F83220">
      <w:pPr>
        <w:rPr>
          <w:rFonts w:ascii="Garamond" w:hAnsi="Garamond"/>
        </w:rPr>
      </w:pPr>
      <w:r>
        <w:rPr>
          <w:rFonts w:ascii="Garamond" w:hAnsi="Garamond"/>
        </w:rPr>
        <w:t>How did the shifting religious and political landscape impact artistic patronage and subject matter? In what ways did artists negotiate new professional opportunities for themselves? How did the Baroque styles of Flanders and the Dutch Republic compare to each other and to Italy and Spain?</w:t>
      </w:r>
    </w:p>
    <w:p w14:paraId="035F252D" w14:textId="7421E2E5" w:rsidR="00F83220" w:rsidRDefault="00F83220">
      <w:pPr>
        <w:rPr>
          <w:rFonts w:ascii="Garamond" w:hAnsi="Garamond"/>
        </w:rPr>
      </w:pPr>
    </w:p>
    <w:p w14:paraId="530A6A32" w14:textId="6E87FDB1" w:rsidR="00F83220" w:rsidRDefault="00F83220" w:rsidP="00B91C3B">
      <w:pPr>
        <w:pStyle w:val="ListParagraph"/>
        <w:numPr>
          <w:ilvl w:val="0"/>
          <w:numId w:val="1"/>
        </w:numPr>
        <w:spacing w:line="600" w:lineRule="auto"/>
        <w:rPr>
          <w:rFonts w:ascii="Garamond" w:hAnsi="Garamond"/>
        </w:rPr>
      </w:pPr>
      <w:r>
        <w:rPr>
          <w:rFonts w:ascii="Garamond" w:hAnsi="Garamond"/>
        </w:rPr>
        <w:t>Peter Paul Rubens: International Artist</w:t>
      </w:r>
      <w:bookmarkStart w:id="0" w:name="_GoBack"/>
      <w:bookmarkEnd w:id="0"/>
    </w:p>
    <w:p w14:paraId="721C555A" w14:textId="0AC67376" w:rsidR="00F83220" w:rsidRDefault="00F83220" w:rsidP="00B91C3B">
      <w:pPr>
        <w:pStyle w:val="ListParagraph"/>
        <w:numPr>
          <w:ilvl w:val="1"/>
          <w:numId w:val="1"/>
        </w:numPr>
        <w:spacing w:line="600" w:lineRule="auto"/>
        <w:rPr>
          <w:rFonts w:ascii="Garamond" w:hAnsi="Garamond"/>
        </w:rPr>
      </w:pPr>
      <w:r>
        <w:rPr>
          <w:rFonts w:ascii="Garamond" w:hAnsi="Garamond"/>
          <w:i/>
          <w:iCs/>
        </w:rPr>
        <w:t>Elevation of the Cross</w:t>
      </w:r>
      <w:r>
        <w:rPr>
          <w:rFonts w:ascii="Garamond" w:hAnsi="Garamond"/>
        </w:rPr>
        <w:t>, 1610</w:t>
      </w:r>
    </w:p>
    <w:p w14:paraId="7A4832EE" w14:textId="10650F5D" w:rsidR="00F83220" w:rsidRDefault="00F83220" w:rsidP="00B91C3B">
      <w:pPr>
        <w:pStyle w:val="ListParagraph"/>
        <w:numPr>
          <w:ilvl w:val="1"/>
          <w:numId w:val="1"/>
        </w:numPr>
        <w:spacing w:line="600" w:lineRule="auto"/>
        <w:rPr>
          <w:rFonts w:ascii="Garamond" w:hAnsi="Garamond"/>
        </w:rPr>
      </w:pPr>
      <w:r>
        <w:rPr>
          <w:rFonts w:ascii="Garamond" w:hAnsi="Garamond"/>
          <w:i/>
          <w:iCs/>
        </w:rPr>
        <w:t xml:space="preserve">Henri IV Receiving the Portrait of Marie </w:t>
      </w:r>
      <w:proofErr w:type="spellStart"/>
      <w:r>
        <w:rPr>
          <w:rFonts w:ascii="Garamond" w:hAnsi="Garamond"/>
          <w:i/>
          <w:iCs/>
        </w:rPr>
        <w:t>de’Medici</w:t>
      </w:r>
      <w:proofErr w:type="spellEnd"/>
      <w:r>
        <w:rPr>
          <w:rFonts w:ascii="Garamond" w:hAnsi="Garamond"/>
        </w:rPr>
        <w:t>, 1621-25</w:t>
      </w:r>
    </w:p>
    <w:p w14:paraId="100B2DDE" w14:textId="0E0D0FFF" w:rsidR="00F83220" w:rsidRDefault="00F83220" w:rsidP="00B91C3B">
      <w:pPr>
        <w:pStyle w:val="ListParagraph"/>
        <w:numPr>
          <w:ilvl w:val="2"/>
          <w:numId w:val="1"/>
        </w:numPr>
        <w:spacing w:line="600" w:lineRule="auto"/>
        <w:rPr>
          <w:rFonts w:ascii="Garamond" w:hAnsi="Garamond"/>
        </w:rPr>
      </w:pPr>
      <w:r>
        <w:rPr>
          <w:rFonts w:ascii="Garamond" w:hAnsi="Garamond"/>
        </w:rPr>
        <w:t>Related series and connection to political marriage</w:t>
      </w:r>
    </w:p>
    <w:p w14:paraId="262B74F1" w14:textId="7C880201" w:rsidR="00F83220" w:rsidRDefault="00F83220" w:rsidP="00B91C3B">
      <w:pPr>
        <w:pStyle w:val="ListParagraph"/>
        <w:numPr>
          <w:ilvl w:val="0"/>
          <w:numId w:val="1"/>
        </w:numPr>
        <w:spacing w:line="600" w:lineRule="auto"/>
        <w:rPr>
          <w:rFonts w:ascii="Garamond" w:hAnsi="Garamond"/>
        </w:rPr>
      </w:pPr>
      <w:r>
        <w:rPr>
          <w:rFonts w:ascii="Garamond" w:hAnsi="Garamond"/>
        </w:rPr>
        <w:t>Baroque Holland</w:t>
      </w:r>
    </w:p>
    <w:p w14:paraId="08C1DB19" w14:textId="18D22809" w:rsidR="00F83220" w:rsidRDefault="00F83220" w:rsidP="00B91C3B">
      <w:pPr>
        <w:pStyle w:val="ListParagraph"/>
        <w:numPr>
          <w:ilvl w:val="1"/>
          <w:numId w:val="1"/>
        </w:numPr>
        <w:spacing w:line="600" w:lineRule="auto"/>
        <w:rPr>
          <w:rFonts w:ascii="Garamond" w:hAnsi="Garamond"/>
        </w:rPr>
      </w:pPr>
      <w:r>
        <w:rPr>
          <w:rFonts w:ascii="Garamond" w:hAnsi="Garamond"/>
        </w:rPr>
        <w:t>New subjects: landscape, still life, genre, group portraiture</w:t>
      </w:r>
    </w:p>
    <w:p w14:paraId="4039F2D5" w14:textId="29E19DAD" w:rsidR="00F83220" w:rsidRDefault="00F83220" w:rsidP="00B91C3B">
      <w:pPr>
        <w:pStyle w:val="ListParagraph"/>
        <w:numPr>
          <w:ilvl w:val="1"/>
          <w:numId w:val="1"/>
        </w:numPr>
        <w:spacing w:line="600" w:lineRule="auto"/>
        <w:rPr>
          <w:rFonts w:ascii="Garamond" w:hAnsi="Garamond"/>
        </w:rPr>
      </w:pPr>
      <w:r>
        <w:rPr>
          <w:rFonts w:ascii="Garamond" w:hAnsi="Garamond"/>
        </w:rPr>
        <w:t>Judith Leyster</w:t>
      </w:r>
    </w:p>
    <w:p w14:paraId="4F6AC08D" w14:textId="620E0F6B" w:rsidR="00F83220" w:rsidRDefault="00F83220" w:rsidP="00B91C3B">
      <w:pPr>
        <w:pStyle w:val="ListParagraph"/>
        <w:numPr>
          <w:ilvl w:val="2"/>
          <w:numId w:val="1"/>
        </w:numPr>
        <w:spacing w:line="600" w:lineRule="auto"/>
        <w:rPr>
          <w:rFonts w:ascii="Garamond" w:hAnsi="Garamond"/>
        </w:rPr>
      </w:pPr>
      <w:r>
        <w:rPr>
          <w:rFonts w:ascii="Garamond" w:hAnsi="Garamond"/>
          <w:i/>
          <w:iCs/>
        </w:rPr>
        <w:t>The Jolly Toper</w:t>
      </w:r>
      <w:r>
        <w:rPr>
          <w:rFonts w:ascii="Garamond" w:hAnsi="Garamond"/>
        </w:rPr>
        <w:t>, 1629</w:t>
      </w:r>
    </w:p>
    <w:p w14:paraId="50727315" w14:textId="1EEB42DE" w:rsidR="00F83220" w:rsidRDefault="00F83220" w:rsidP="00B91C3B">
      <w:pPr>
        <w:pStyle w:val="ListParagraph"/>
        <w:numPr>
          <w:ilvl w:val="2"/>
          <w:numId w:val="1"/>
        </w:numPr>
        <w:spacing w:line="600" w:lineRule="auto"/>
        <w:rPr>
          <w:rFonts w:ascii="Garamond" w:hAnsi="Garamond"/>
        </w:rPr>
      </w:pPr>
      <w:r>
        <w:rPr>
          <w:rFonts w:ascii="Garamond" w:hAnsi="Garamond"/>
          <w:i/>
          <w:iCs/>
        </w:rPr>
        <w:t>Self-Portrait</w:t>
      </w:r>
      <w:r>
        <w:rPr>
          <w:rFonts w:ascii="Garamond" w:hAnsi="Garamond"/>
        </w:rPr>
        <w:t>, 1635</w:t>
      </w:r>
    </w:p>
    <w:p w14:paraId="4270F26D" w14:textId="579800C8" w:rsidR="00F83220" w:rsidRDefault="00F83220" w:rsidP="00B91C3B">
      <w:pPr>
        <w:pStyle w:val="ListParagraph"/>
        <w:numPr>
          <w:ilvl w:val="1"/>
          <w:numId w:val="1"/>
        </w:numPr>
        <w:spacing w:line="600" w:lineRule="auto"/>
        <w:rPr>
          <w:rFonts w:ascii="Garamond" w:hAnsi="Garamond"/>
        </w:rPr>
      </w:pPr>
      <w:r>
        <w:rPr>
          <w:rFonts w:ascii="Garamond" w:hAnsi="Garamond"/>
        </w:rPr>
        <w:t>Johannes Vermeer</w:t>
      </w:r>
    </w:p>
    <w:p w14:paraId="7D62CC93" w14:textId="24BFBA72" w:rsidR="00F83220" w:rsidRDefault="00F83220" w:rsidP="00B91C3B">
      <w:pPr>
        <w:pStyle w:val="ListParagraph"/>
        <w:numPr>
          <w:ilvl w:val="2"/>
          <w:numId w:val="1"/>
        </w:numPr>
        <w:spacing w:line="600" w:lineRule="auto"/>
        <w:rPr>
          <w:rFonts w:ascii="Garamond" w:hAnsi="Garamond"/>
        </w:rPr>
      </w:pPr>
      <w:r>
        <w:rPr>
          <w:rFonts w:ascii="Garamond" w:hAnsi="Garamond"/>
          <w:i/>
          <w:iCs/>
        </w:rPr>
        <w:t>Woman Holding a Balance</w:t>
      </w:r>
      <w:r>
        <w:rPr>
          <w:rFonts w:ascii="Garamond" w:hAnsi="Garamond"/>
        </w:rPr>
        <w:t>, c.1664</w:t>
      </w:r>
    </w:p>
    <w:p w14:paraId="6A606920" w14:textId="1775ADD1" w:rsidR="00F83220" w:rsidRDefault="00F83220" w:rsidP="00B91C3B">
      <w:pPr>
        <w:pStyle w:val="ListParagraph"/>
        <w:numPr>
          <w:ilvl w:val="1"/>
          <w:numId w:val="1"/>
        </w:numPr>
        <w:spacing w:line="600" w:lineRule="auto"/>
        <w:rPr>
          <w:rFonts w:ascii="Garamond" w:hAnsi="Garamond"/>
        </w:rPr>
      </w:pPr>
      <w:r>
        <w:rPr>
          <w:rFonts w:ascii="Garamond" w:hAnsi="Garamond"/>
        </w:rPr>
        <w:t>Rembrandt van Rijn</w:t>
      </w:r>
    </w:p>
    <w:p w14:paraId="1899F615" w14:textId="63CDF925" w:rsidR="00F83220" w:rsidRDefault="00F83220" w:rsidP="00B91C3B">
      <w:pPr>
        <w:pStyle w:val="ListParagraph"/>
        <w:numPr>
          <w:ilvl w:val="2"/>
          <w:numId w:val="1"/>
        </w:numPr>
        <w:spacing w:line="600" w:lineRule="auto"/>
        <w:rPr>
          <w:rFonts w:ascii="Garamond" w:hAnsi="Garamond"/>
        </w:rPr>
      </w:pPr>
      <w:r>
        <w:rPr>
          <w:rFonts w:ascii="Garamond" w:hAnsi="Garamond"/>
        </w:rPr>
        <w:t>Self-portraits</w:t>
      </w:r>
    </w:p>
    <w:p w14:paraId="6FDBF973" w14:textId="7B8AA200" w:rsidR="00F83220" w:rsidRDefault="00F83220" w:rsidP="00B91C3B">
      <w:pPr>
        <w:pStyle w:val="ListParagraph"/>
        <w:numPr>
          <w:ilvl w:val="2"/>
          <w:numId w:val="1"/>
        </w:numPr>
        <w:spacing w:line="600" w:lineRule="auto"/>
        <w:rPr>
          <w:rFonts w:ascii="Garamond" w:hAnsi="Garamond"/>
        </w:rPr>
      </w:pPr>
      <w:r>
        <w:rPr>
          <w:rFonts w:ascii="Garamond" w:hAnsi="Garamond"/>
          <w:i/>
          <w:iCs/>
        </w:rPr>
        <w:t xml:space="preserve">The Anatomy Lesson of Dr. </w:t>
      </w:r>
      <w:proofErr w:type="spellStart"/>
      <w:r>
        <w:rPr>
          <w:rFonts w:ascii="Garamond" w:hAnsi="Garamond"/>
          <w:i/>
          <w:iCs/>
        </w:rPr>
        <w:t>Nicolaes</w:t>
      </w:r>
      <w:proofErr w:type="spellEnd"/>
      <w:r>
        <w:rPr>
          <w:rFonts w:ascii="Garamond" w:hAnsi="Garamond"/>
          <w:i/>
          <w:iCs/>
        </w:rPr>
        <w:t xml:space="preserve"> </w:t>
      </w:r>
      <w:proofErr w:type="spellStart"/>
      <w:r>
        <w:rPr>
          <w:rFonts w:ascii="Garamond" w:hAnsi="Garamond"/>
          <w:i/>
          <w:iCs/>
        </w:rPr>
        <w:t>Tulp</w:t>
      </w:r>
      <w:proofErr w:type="spellEnd"/>
      <w:r>
        <w:rPr>
          <w:rFonts w:ascii="Garamond" w:hAnsi="Garamond"/>
        </w:rPr>
        <w:t>, 1632</w:t>
      </w:r>
    </w:p>
    <w:p w14:paraId="1075DA6E" w14:textId="4B3A0752" w:rsidR="00F83220" w:rsidRDefault="00F83220" w:rsidP="00B91C3B">
      <w:pPr>
        <w:pStyle w:val="ListParagraph"/>
        <w:numPr>
          <w:ilvl w:val="2"/>
          <w:numId w:val="1"/>
        </w:numPr>
        <w:spacing w:line="600" w:lineRule="auto"/>
        <w:rPr>
          <w:rFonts w:ascii="Garamond" w:hAnsi="Garamond"/>
        </w:rPr>
      </w:pPr>
      <w:r>
        <w:rPr>
          <w:rFonts w:ascii="Garamond" w:hAnsi="Garamond"/>
          <w:i/>
          <w:iCs/>
        </w:rPr>
        <w:t xml:space="preserve">The Company of Captain Frans Banning </w:t>
      </w:r>
      <w:proofErr w:type="spellStart"/>
      <w:r>
        <w:rPr>
          <w:rFonts w:ascii="Garamond" w:hAnsi="Garamond"/>
          <w:i/>
          <w:iCs/>
        </w:rPr>
        <w:t>Cocq</w:t>
      </w:r>
      <w:proofErr w:type="spellEnd"/>
      <w:r>
        <w:rPr>
          <w:rFonts w:ascii="Garamond" w:hAnsi="Garamond"/>
          <w:i/>
          <w:iCs/>
        </w:rPr>
        <w:t xml:space="preserve"> (The </w:t>
      </w:r>
      <w:proofErr w:type="spellStart"/>
      <w:r>
        <w:rPr>
          <w:rFonts w:ascii="Garamond" w:hAnsi="Garamond"/>
          <w:i/>
          <w:iCs/>
        </w:rPr>
        <w:t>Nightwatch</w:t>
      </w:r>
      <w:proofErr w:type="spellEnd"/>
      <w:r>
        <w:rPr>
          <w:rFonts w:ascii="Garamond" w:hAnsi="Garamond"/>
          <w:i/>
          <w:iCs/>
        </w:rPr>
        <w:t>)</w:t>
      </w:r>
      <w:r>
        <w:rPr>
          <w:rFonts w:ascii="Garamond" w:hAnsi="Garamond"/>
        </w:rPr>
        <w:t>, 1642</w:t>
      </w:r>
    </w:p>
    <w:p w14:paraId="0C37C110" w14:textId="51304E0F" w:rsidR="00F83220" w:rsidRPr="00F83220" w:rsidRDefault="00B91C3B" w:rsidP="00B91C3B">
      <w:pPr>
        <w:pStyle w:val="ListParagraph"/>
        <w:numPr>
          <w:ilvl w:val="2"/>
          <w:numId w:val="1"/>
        </w:numPr>
        <w:spacing w:line="600" w:lineRule="auto"/>
        <w:rPr>
          <w:rFonts w:ascii="Garamond" w:hAnsi="Garamond"/>
        </w:rPr>
      </w:pPr>
      <w:r>
        <w:rPr>
          <w:rFonts w:ascii="Garamond" w:hAnsi="Garamond"/>
        </w:rPr>
        <w:t xml:space="preserve">Printmaking innovations: etching and </w:t>
      </w:r>
      <w:proofErr w:type="spellStart"/>
      <w:r>
        <w:rPr>
          <w:rFonts w:ascii="Garamond" w:hAnsi="Garamond"/>
        </w:rPr>
        <w:t>drypoint</w:t>
      </w:r>
      <w:proofErr w:type="spellEnd"/>
    </w:p>
    <w:sectPr w:rsidR="00F83220" w:rsidRPr="00F83220" w:rsidSect="00093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A4E6" w14:textId="77777777" w:rsidR="008F6500" w:rsidRDefault="008F6500" w:rsidP="00B91C3B">
      <w:r>
        <w:separator/>
      </w:r>
    </w:p>
  </w:endnote>
  <w:endnote w:type="continuationSeparator" w:id="0">
    <w:p w14:paraId="3F63DDCE" w14:textId="77777777" w:rsidR="008F6500" w:rsidRDefault="008F6500" w:rsidP="00B9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5787D" w14:textId="77777777" w:rsidR="008F6500" w:rsidRDefault="008F6500" w:rsidP="00B91C3B">
      <w:r>
        <w:separator/>
      </w:r>
    </w:p>
  </w:footnote>
  <w:footnote w:type="continuationSeparator" w:id="0">
    <w:p w14:paraId="6FE83743" w14:textId="77777777" w:rsidR="008F6500" w:rsidRDefault="008F6500" w:rsidP="00B9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B202" w14:textId="3CAF716F" w:rsidR="00B91C3B" w:rsidRPr="00B91C3B" w:rsidRDefault="00B91C3B">
    <w:pPr>
      <w:pStyle w:val="Header"/>
      <w:rPr>
        <w:rFonts w:ascii="Garamond" w:hAnsi="Garamond"/>
      </w:rPr>
    </w:pPr>
    <w:r>
      <w:rPr>
        <w:rFonts w:ascii="Garamond" w:hAnsi="Garamond"/>
      </w:rPr>
      <w:t>Art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86F42"/>
    <w:multiLevelType w:val="hybridMultilevel"/>
    <w:tmpl w:val="26109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20"/>
    <w:rsid w:val="00093768"/>
    <w:rsid w:val="003373FB"/>
    <w:rsid w:val="005232BF"/>
    <w:rsid w:val="008F6500"/>
    <w:rsid w:val="00B91C3B"/>
    <w:rsid w:val="00F10632"/>
    <w:rsid w:val="00F8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66B27"/>
  <w15:chartTrackingRefBased/>
  <w15:docId w15:val="{3BAF5F37-BE28-004C-86A6-47EC8D95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220"/>
    <w:pPr>
      <w:ind w:left="720"/>
      <w:contextualSpacing/>
    </w:pPr>
  </w:style>
  <w:style w:type="paragraph" w:styleId="Header">
    <w:name w:val="header"/>
    <w:basedOn w:val="Normal"/>
    <w:link w:val="HeaderChar"/>
    <w:uiPriority w:val="99"/>
    <w:unhideWhenUsed/>
    <w:rsid w:val="00B91C3B"/>
    <w:pPr>
      <w:tabs>
        <w:tab w:val="center" w:pos="4680"/>
        <w:tab w:val="right" w:pos="9360"/>
      </w:tabs>
    </w:pPr>
  </w:style>
  <w:style w:type="character" w:customStyle="1" w:styleId="HeaderChar">
    <w:name w:val="Header Char"/>
    <w:basedOn w:val="DefaultParagraphFont"/>
    <w:link w:val="Header"/>
    <w:uiPriority w:val="99"/>
    <w:rsid w:val="00B91C3B"/>
  </w:style>
  <w:style w:type="paragraph" w:styleId="Footer">
    <w:name w:val="footer"/>
    <w:basedOn w:val="Normal"/>
    <w:link w:val="FooterChar"/>
    <w:uiPriority w:val="99"/>
    <w:unhideWhenUsed/>
    <w:rsid w:val="00B91C3B"/>
    <w:pPr>
      <w:tabs>
        <w:tab w:val="center" w:pos="4680"/>
        <w:tab w:val="right" w:pos="9360"/>
      </w:tabs>
    </w:pPr>
  </w:style>
  <w:style w:type="character" w:customStyle="1" w:styleId="FooterChar">
    <w:name w:val="Footer Char"/>
    <w:basedOn w:val="DefaultParagraphFont"/>
    <w:link w:val="Footer"/>
    <w:uiPriority w:val="99"/>
    <w:rsid w:val="00B9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2019-08-20T21:54:00Z</dcterms:created>
  <dcterms:modified xsi:type="dcterms:W3CDTF">2019-08-20T22:06:00Z</dcterms:modified>
</cp:coreProperties>
</file>