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EF289" w14:textId="688367D0" w:rsidR="005F5F3E" w:rsidRDefault="005F5F3E" w:rsidP="005F5F3E">
      <w:pPr>
        <w:rPr>
          <w:rFonts w:ascii="Garamond" w:hAnsi="Garamond"/>
          <w:b/>
        </w:rPr>
      </w:pPr>
      <w:r>
        <w:rPr>
          <w:rFonts w:ascii="Garamond" w:hAnsi="Garamond"/>
          <w:b/>
        </w:rPr>
        <w:t>Fifteenth-Century Northern Europe</w:t>
      </w:r>
    </w:p>
    <w:p w14:paraId="01CB2B52" w14:textId="3EED8A04" w:rsidR="005F5F3E" w:rsidRDefault="005F5F3E" w:rsidP="005F5F3E">
      <w:pPr>
        <w:rPr>
          <w:rFonts w:ascii="Garamond" w:hAnsi="Garamond"/>
        </w:rPr>
      </w:pPr>
      <w:r>
        <w:rPr>
          <w:rFonts w:ascii="Garamond" w:hAnsi="Garamond"/>
        </w:rPr>
        <w:t>What is the relationship between sacred and profane subject matter in Early Netherlandish painting? What cultural and social reasons led artists to represent the world around them in vivid detail and what medium do them employ to do it?</w:t>
      </w:r>
    </w:p>
    <w:p w14:paraId="6A498915" w14:textId="77777777" w:rsidR="005F5F3E" w:rsidRDefault="005F5F3E" w:rsidP="005F5F3E">
      <w:pPr>
        <w:rPr>
          <w:rFonts w:ascii="Garamond" w:hAnsi="Garamond"/>
        </w:rPr>
      </w:pPr>
    </w:p>
    <w:p w14:paraId="221CCF7D" w14:textId="64ADAFE7" w:rsidR="005F5F3E" w:rsidRDefault="005F5F3E" w:rsidP="005F5F3E">
      <w:pPr>
        <w:pStyle w:val="ListParagraph"/>
        <w:numPr>
          <w:ilvl w:val="0"/>
          <w:numId w:val="1"/>
        </w:numPr>
        <w:spacing w:line="840" w:lineRule="auto"/>
        <w:rPr>
          <w:rFonts w:ascii="Garamond" w:hAnsi="Garamond"/>
        </w:rPr>
      </w:pPr>
      <w:r>
        <w:rPr>
          <w:rFonts w:ascii="Garamond" w:hAnsi="Garamond"/>
        </w:rPr>
        <w:t xml:space="preserve">Cultural Context: </w:t>
      </w:r>
      <w:r>
        <w:rPr>
          <w:rFonts w:ascii="Garamond" w:hAnsi="Garamond"/>
        </w:rPr>
        <w:t xml:space="preserve">Dukes of Burgundy </w:t>
      </w:r>
      <w:bookmarkStart w:id="0" w:name="_GoBack"/>
      <w:bookmarkEnd w:id="0"/>
    </w:p>
    <w:p w14:paraId="4650A542" w14:textId="564D2024" w:rsidR="005F5F3E" w:rsidRPr="00316124" w:rsidRDefault="005F5F3E" w:rsidP="00316124">
      <w:pPr>
        <w:pStyle w:val="ListParagraph"/>
        <w:numPr>
          <w:ilvl w:val="0"/>
          <w:numId w:val="1"/>
        </w:numPr>
        <w:spacing w:line="840" w:lineRule="auto"/>
        <w:rPr>
          <w:rFonts w:ascii="Garamond" w:hAnsi="Garamond"/>
        </w:rPr>
      </w:pPr>
      <w:r>
        <w:rPr>
          <w:rFonts w:ascii="Garamond" w:hAnsi="Garamond"/>
        </w:rPr>
        <w:t>Sacred and Profane</w:t>
      </w:r>
      <w:r w:rsidR="00316124">
        <w:rPr>
          <w:rFonts w:ascii="Garamond" w:hAnsi="Garamond"/>
        </w:rPr>
        <w:t xml:space="preserve">: </w:t>
      </w:r>
      <w:r w:rsidRPr="00316124">
        <w:rPr>
          <w:rFonts w:ascii="Garamond" w:hAnsi="Garamond"/>
        </w:rPr>
        <w:t xml:space="preserve">Workshop of </w:t>
      </w:r>
      <w:proofErr w:type="spellStart"/>
      <w:r w:rsidRPr="00316124">
        <w:rPr>
          <w:rFonts w:ascii="Garamond" w:hAnsi="Garamond"/>
        </w:rPr>
        <w:t>Campin</w:t>
      </w:r>
      <w:proofErr w:type="spellEnd"/>
      <w:r w:rsidRPr="00316124">
        <w:rPr>
          <w:rFonts w:ascii="Garamond" w:hAnsi="Garamond"/>
        </w:rPr>
        <w:t xml:space="preserve">, </w:t>
      </w:r>
      <w:r w:rsidRPr="00316124">
        <w:rPr>
          <w:rFonts w:ascii="Garamond" w:hAnsi="Garamond"/>
          <w:i/>
          <w:iCs/>
        </w:rPr>
        <w:t>Annunciation Triptych (</w:t>
      </w:r>
      <w:proofErr w:type="spellStart"/>
      <w:r w:rsidRPr="00316124">
        <w:rPr>
          <w:rFonts w:ascii="Garamond" w:hAnsi="Garamond"/>
          <w:i/>
          <w:iCs/>
        </w:rPr>
        <w:t>Merode</w:t>
      </w:r>
      <w:proofErr w:type="spellEnd"/>
      <w:r w:rsidRPr="00316124">
        <w:rPr>
          <w:rFonts w:ascii="Garamond" w:hAnsi="Garamond"/>
          <w:i/>
          <w:iCs/>
        </w:rPr>
        <w:t xml:space="preserve"> Altarpiece)</w:t>
      </w:r>
      <w:r w:rsidRPr="00316124">
        <w:rPr>
          <w:rFonts w:ascii="Garamond" w:hAnsi="Garamond"/>
        </w:rPr>
        <w:t>, c.1427-32</w:t>
      </w:r>
    </w:p>
    <w:p w14:paraId="1EE0AD52" w14:textId="2D08149E" w:rsidR="005F5F3E" w:rsidRDefault="005F5F3E" w:rsidP="005F5F3E">
      <w:pPr>
        <w:pStyle w:val="ListParagraph"/>
        <w:numPr>
          <w:ilvl w:val="0"/>
          <w:numId w:val="1"/>
        </w:numPr>
        <w:spacing w:line="840" w:lineRule="auto"/>
        <w:rPr>
          <w:rFonts w:ascii="Garamond" w:hAnsi="Garamond"/>
        </w:rPr>
      </w:pPr>
      <w:r>
        <w:rPr>
          <w:rFonts w:ascii="Garamond" w:hAnsi="Garamond"/>
        </w:rPr>
        <w:t>Jan van Eyck</w:t>
      </w:r>
    </w:p>
    <w:p w14:paraId="2C65DC30" w14:textId="76A3CC99" w:rsidR="005F5F3E" w:rsidRPr="005F5F3E" w:rsidRDefault="005F5F3E" w:rsidP="005F5F3E">
      <w:pPr>
        <w:pStyle w:val="ListParagraph"/>
        <w:numPr>
          <w:ilvl w:val="1"/>
          <w:numId w:val="1"/>
        </w:numPr>
        <w:spacing w:line="840" w:lineRule="auto"/>
        <w:rPr>
          <w:rFonts w:ascii="Garamond" w:hAnsi="Garamond"/>
          <w:i/>
          <w:iCs/>
        </w:rPr>
      </w:pPr>
      <w:proofErr w:type="gramStart"/>
      <w:r>
        <w:rPr>
          <w:rFonts w:ascii="Garamond" w:hAnsi="Garamond"/>
          <w:i/>
          <w:iCs/>
        </w:rPr>
        <w:t>Man</w:t>
      </w:r>
      <w:proofErr w:type="gramEnd"/>
      <w:r>
        <w:rPr>
          <w:rFonts w:ascii="Garamond" w:hAnsi="Garamond"/>
          <w:i/>
          <w:iCs/>
        </w:rPr>
        <w:t xml:space="preserve"> in a Red Turban</w:t>
      </w:r>
      <w:r>
        <w:rPr>
          <w:rFonts w:ascii="Garamond" w:hAnsi="Garamond"/>
        </w:rPr>
        <w:t>, 1433</w:t>
      </w:r>
    </w:p>
    <w:p w14:paraId="5ABCD628" w14:textId="5D53217F" w:rsidR="005F5F3E" w:rsidRPr="005F5F3E" w:rsidRDefault="005F5F3E" w:rsidP="005F5F3E">
      <w:pPr>
        <w:pStyle w:val="ListParagraph"/>
        <w:numPr>
          <w:ilvl w:val="1"/>
          <w:numId w:val="1"/>
        </w:numPr>
        <w:spacing w:line="840" w:lineRule="auto"/>
        <w:rPr>
          <w:rFonts w:ascii="Garamond" w:hAnsi="Garamond"/>
          <w:i/>
          <w:iCs/>
        </w:rPr>
      </w:pPr>
      <w:r>
        <w:rPr>
          <w:rFonts w:ascii="Garamond" w:hAnsi="Garamond"/>
          <w:i/>
          <w:iCs/>
        </w:rPr>
        <w:t>Double Portrait (Arnolfini and His Wife</w:t>
      </w:r>
      <w:r>
        <w:rPr>
          <w:rFonts w:ascii="Garamond" w:hAnsi="Garamond"/>
        </w:rPr>
        <w:t>, 1434</w:t>
      </w:r>
    </w:p>
    <w:p w14:paraId="1970A9A1" w14:textId="3CEED79A" w:rsidR="005F5F3E" w:rsidRDefault="005F5F3E" w:rsidP="005F5F3E">
      <w:pPr>
        <w:pStyle w:val="ListParagraph"/>
        <w:numPr>
          <w:ilvl w:val="2"/>
          <w:numId w:val="1"/>
        </w:numPr>
        <w:spacing w:line="840" w:lineRule="auto"/>
        <w:rPr>
          <w:rFonts w:ascii="Garamond" w:hAnsi="Garamond"/>
        </w:rPr>
      </w:pPr>
      <w:r>
        <w:rPr>
          <w:rFonts w:ascii="Garamond" w:hAnsi="Garamond"/>
        </w:rPr>
        <w:t>Scholarly debate and Panofsky’s theories</w:t>
      </w:r>
    </w:p>
    <w:p w14:paraId="6D851C77" w14:textId="2F052637" w:rsidR="005F5F3E" w:rsidRPr="00316124" w:rsidRDefault="005F5F3E" w:rsidP="00316124">
      <w:pPr>
        <w:pStyle w:val="ListParagraph"/>
        <w:numPr>
          <w:ilvl w:val="1"/>
          <w:numId w:val="1"/>
        </w:numPr>
        <w:spacing w:line="840" w:lineRule="auto"/>
        <w:rPr>
          <w:rFonts w:ascii="Garamond" w:hAnsi="Garamond"/>
          <w:i/>
          <w:iCs/>
        </w:rPr>
      </w:pPr>
      <w:r>
        <w:rPr>
          <w:rFonts w:ascii="Garamond" w:hAnsi="Garamond"/>
          <w:i/>
          <w:iCs/>
        </w:rPr>
        <w:t>Ghent Altarpiece</w:t>
      </w:r>
      <w:r>
        <w:rPr>
          <w:rFonts w:ascii="Garamond" w:hAnsi="Garamond"/>
        </w:rPr>
        <w:t>, completed 1432</w:t>
      </w:r>
    </w:p>
    <w:p w14:paraId="16130FD7" w14:textId="4A5D4CC5" w:rsidR="00316124" w:rsidRDefault="00316124" w:rsidP="00316124">
      <w:pPr>
        <w:pStyle w:val="ListParagraph"/>
        <w:numPr>
          <w:ilvl w:val="2"/>
          <w:numId w:val="1"/>
        </w:numPr>
        <w:spacing w:line="840" w:lineRule="auto"/>
        <w:rPr>
          <w:rFonts w:ascii="Garamond" w:hAnsi="Garamond"/>
        </w:rPr>
      </w:pPr>
      <w:r>
        <w:rPr>
          <w:rFonts w:ascii="Garamond" w:hAnsi="Garamond"/>
        </w:rPr>
        <w:t>Closed vs. open color and iconography</w:t>
      </w:r>
    </w:p>
    <w:p w14:paraId="7397C84C" w14:textId="5121C5C9" w:rsidR="00316124" w:rsidRPr="00316124" w:rsidRDefault="00316124" w:rsidP="00316124">
      <w:pPr>
        <w:pStyle w:val="ListParagraph"/>
        <w:numPr>
          <w:ilvl w:val="2"/>
          <w:numId w:val="1"/>
        </w:numPr>
        <w:spacing w:line="840" w:lineRule="auto"/>
        <w:rPr>
          <w:rFonts w:ascii="Garamond" w:hAnsi="Garamond"/>
        </w:rPr>
      </w:pPr>
      <w:r>
        <w:rPr>
          <w:rFonts w:ascii="Garamond" w:hAnsi="Garamond"/>
        </w:rPr>
        <w:t>Later legacy and Monuments Men</w:t>
      </w:r>
    </w:p>
    <w:p w14:paraId="6075A05E" w14:textId="77777777" w:rsidR="00316124" w:rsidRDefault="005F5F3E" w:rsidP="005F5F3E">
      <w:pPr>
        <w:pStyle w:val="ListParagraph"/>
        <w:numPr>
          <w:ilvl w:val="0"/>
          <w:numId w:val="1"/>
        </w:numPr>
        <w:spacing w:line="840" w:lineRule="auto"/>
        <w:rPr>
          <w:rFonts w:ascii="Garamond" w:hAnsi="Garamond"/>
        </w:rPr>
      </w:pPr>
      <w:proofErr w:type="spellStart"/>
      <w:r>
        <w:rPr>
          <w:rFonts w:ascii="Garamond" w:hAnsi="Garamond"/>
        </w:rPr>
        <w:t>Rogier</w:t>
      </w:r>
      <w:proofErr w:type="spellEnd"/>
      <w:r>
        <w:rPr>
          <w:rFonts w:ascii="Garamond" w:hAnsi="Garamond"/>
        </w:rPr>
        <w:t xml:space="preserve"> van der Weyden</w:t>
      </w:r>
      <w:r w:rsidR="00316124">
        <w:rPr>
          <w:rFonts w:ascii="Garamond" w:hAnsi="Garamond"/>
        </w:rPr>
        <w:t xml:space="preserve"> and Emotional Intensity</w:t>
      </w:r>
    </w:p>
    <w:p w14:paraId="2ED00E5E" w14:textId="40AC26FE" w:rsidR="005F5F3E" w:rsidRDefault="005F5F3E" w:rsidP="00316124">
      <w:pPr>
        <w:pStyle w:val="ListParagraph"/>
        <w:numPr>
          <w:ilvl w:val="1"/>
          <w:numId w:val="1"/>
        </w:numPr>
        <w:spacing w:line="840" w:lineRule="auto"/>
        <w:rPr>
          <w:rFonts w:ascii="Garamond" w:hAnsi="Garamond"/>
        </w:rPr>
      </w:pPr>
      <w:r>
        <w:rPr>
          <w:rFonts w:ascii="Garamond" w:hAnsi="Garamond"/>
          <w:i/>
          <w:iCs/>
        </w:rPr>
        <w:t>Deposition</w:t>
      </w:r>
      <w:r>
        <w:rPr>
          <w:rFonts w:ascii="Garamond" w:hAnsi="Garamond"/>
        </w:rPr>
        <w:t>, c.1435-38</w:t>
      </w:r>
    </w:p>
    <w:p w14:paraId="2760A35C" w14:textId="643938F8" w:rsidR="00316124" w:rsidRDefault="00316124" w:rsidP="00316124">
      <w:pPr>
        <w:pStyle w:val="ListParagraph"/>
        <w:numPr>
          <w:ilvl w:val="1"/>
          <w:numId w:val="1"/>
        </w:numPr>
        <w:spacing w:line="840" w:lineRule="auto"/>
        <w:rPr>
          <w:rFonts w:ascii="Garamond" w:hAnsi="Garamond"/>
        </w:rPr>
      </w:pPr>
      <w:r>
        <w:rPr>
          <w:rFonts w:ascii="Garamond" w:hAnsi="Garamond"/>
          <w:i/>
          <w:iCs/>
        </w:rPr>
        <w:t>Crucifixion with the Virgin and St. John the Evangelist</w:t>
      </w:r>
      <w:r>
        <w:rPr>
          <w:rFonts w:ascii="Garamond" w:hAnsi="Garamond"/>
        </w:rPr>
        <w:t>, c.1460</w:t>
      </w:r>
    </w:p>
    <w:p w14:paraId="6FD06D6F" w14:textId="61110305" w:rsidR="00F10632" w:rsidRPr="00316124" w:rsidRDefault="00316124" w:rsidP="00316124">
      <w:pPr>
        <w:pStyle w:val="ListParagraph"/>
        <w:numPr>
          <w:ilvl w:val="0"/>
          <w:numId w:val="1"/>
        </w:numPr>
        <w:spacing w:line="840" w:lineRule="auto"/>
        <w:rPr>
          <w:rFonts w:ascii="Garamond" w:hAnsi="Garamond"/>
        </w:rPr>
      </w:pPr>
      <w:r>
        <w:rPr>
          <w:rFonts w:ascii="Garamond" w:hAnsi="Garamond"/>
        </w:rPr>
        <w:t>Shifting Role of the Artist</w:t>
      </w:r>
    </w:p>
    <w:sectPr w:rsidR="00F10632" w:rsidRPr="00316124" w:rsidSect="00093768">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AF0E" w14:textId="77777777" w:rsidR="00B41FED" w:rsidRPr="00B41FED" w:rsidRDefault="00316124">
    <w:pPr>
      <w:pStyle w:val="Header"/>
      <w:rPr>
        <w:rFonts w:ascii="Garamond" w:hAnsi="Garamond"/>
      </w:rPr>
    </w:pPr>
    <w:r>
      <w:rPr>
        <w:rFonts w:ascii="Garamond" w:hAnsi="Garamond"/>
      </w:rPr>
      <w:t>Art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57A34"/>
    <w:multiLevelType w:val="hybridMultilevel"/>
    <w:tmpl w:val="EBA49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3E"/>
    <w:rsid w:val="00093768"/>
    <w:rsid w:val="00316124"/>
    <w:rsid w:val="003373FB"/>
    <w:rsid w:val="005232BF"/>
    <w:rsid w:val="005F5F3E"/>
    <w:rsid w:val="00F1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D4425"/>
  <w15:chartTrackingRefBased/>
  <w15:docId w15:val="{F71566CE-A0AD-2F4C-9FC9-00E5140C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F3E"/>
    <w:pPr>
      <w:tabs>
        <w:tab w:val="center" w:pos="4680"/>
        <w:tab w:val="right" w:pos="9360"/>
      </w:tabs>
    </w:pPr>
  </w:style>
  <w:style w:type="character" w:customStyle="1" w:styleId="HeaderChar">
    <w:name w:val="Header Char"/>
    <w:basedOn w:val="DefaultParagraphFont"/>
    <w:link w:val="Header"/>
    <w:uiPriority w:val="99"/>
    <w:rsid w:val="005F5F3E"/>
  </w:style>
  <w:style w:type="paragraph" w:styleId="ListParagraph">
    <w:name w:val="List Paragraph"/>
    <w:basedOn w:val="Normal"/>
    <w:uiPriority w:val="34"/>
    <w:qFormat/>
    <w:rsid w:val="005F5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2019-08-14T04:08:00Z</dcterms:created>
  <dcterms:modified xsi:type="dcterms:W3CDTF">2019-08-14T04:26:00Z</dcterms:modified>
</cp:coreProperties>
</file>